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B7" w:rsidRDefault="00D240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240B7" w:rsidRDefault="00D240B7">
      <w:pPr>
        <w:pStyle w:val="ConsPlusNormal"/>
        <w:jc w:val="both"/>
        <w:outlineLvl w:val="0"/>
      </w:pPr>
    </w:p>
    <w:p w:rsidR="00D240B7" w:rsidRDefault="00D240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40B7" w:rsidRDefault="00D240B7">
      <w:pPr>
        <w:pStyle w:val="ConsPlusTitle"/>
        <w:jc w:val="center"/>
      </w:pPr>
    </w:p>
    <w:p w:rsidR="00D240B7" w:rsidRDefault="00D240B7">
      <w:pPr>
        <w:pStyle w:val="ConsPlusTitle"/>
        <w:jc w:val="center"/>
      </w:pPr>
      <w:r>
        <w:t>ПОСТАНОВЛЕНИЕ</w:t>
      </w:r>
    </w:p>
    <w:p w:rsidR="00D240B7" w:rsidRDefault="00D240B7">
      <w:pPr>
        <w:pStyle w:val="ConsPlusTitle"/>
        <w:jc w:val="center"/>
      </w:pPr>
      <w:r>
        <w:t>от 11 декабря 2024 г. N 1752</w:t>
      </w:r>
    </w:p>
    <w:p w:rsidR="00D240B7" w:rsidRDefault="00D240B7">
      <w:pPr>
        <w:pStyle w:val="ConsPlusTitle"/>
        <w:jc w:val="center"/>
      </w:pPr>
    </w:p>
    <w:p w:rsidR="00D240B7" w:rsidRDefault="00D240B7">
      <w:pPr>
        <w:pStyle w:val="ConsPlusTitle"/>
        <w:jc w:val="center"/>
      </w:pPr>
      <w:r>
        <w:t>О ПОРЯДКЕ</w:t>
      </w:r>
    </w:p>
    <w:p w:rsidR="00D240B7" w:rsidRDefault="00D240B7">
      <w:pPr>
        <w:pStyle w:val="ConsPlusTitle"/>
        <w:jc w:val="center"/>
      </w:pPr>
      <w:r>
        <w:t>ПЕРЕЧИСЛЕНИЯ В 2025 ГОДУ СРЕДСТВ, ПОДЛЕЖАЩИХ КАЗНАЧЕЙСКОМУ</w:t>
      </w:r>
    </w:p>
    <w:p w:rsidR="00D240B7" w:rsidRDefault="00D240B7">
      <w:pPr>
        <w:pStyle w:val="ConsPlusTitle"/>
        <w:jc w:val="center"/>
      </w:pPr>
      <w:r>
        <w:t>СОПРОВОЖДЕНИЮ, НА РАСЧЕТНЫЕ СЧЕТА, ОТКРЫТЫЕ</w:t>
      </w:r>
    </w:p>
    <w:p w:rsidR="00D240B7" w:rsidRDefault="00D240B7">
      <w:pPr>
        <w:pStyle w:val="ConsPlusTitle"/>
        <w:jc w:val="center"/>
      </w:pPr>
      <w:r>
        <w:t>В КРЕДИТНЫХ ОРГАНИЗАЦИЯХ</w:t>
      </w: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240B7" w:rsidRDefault="00D240B7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</w:t>
      </w:r>
      <w:proofErr w:type="gramStart"/>
      <w:r>
        <w:t>Установить, что перечисление средств с лицевых счетов участника казначейского сопровождения, открытых в территориальных органах Федерального казначейства заказчикам по контрактам (договорам), заключаемым в рамках исполнения государственных (муниципальных)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 (далее соответственно - контракт (договор), государственный (муниципальный) контракт</w:t>
      </w:r>
      <w:proofErr w:type="gramEnd"/>
      <w:r>
        <w:t xml:space="preserve">, </w:t>
      </w:r>
      <w:proofErr w:type="gramStart"/>
      <w:r>
        <w:t xml:space="preserve">контракт учреждения, соглашение (договор), указанных в </w:t>
      </w:r>
      <w:hyperlink r:id="rId5">
        <w:r>
          <w:rPr>
            <w:color w:val="0000FF"/>
          </w:rPr>
          <w:t>частях 2</w:t>
        </w:r>
      </w:hyperlink>
      <w:r>
        <w:t xml:space="preserve"> и </w:t>
      </w:r>
      <w:hyperlink r:id="rId6">
        <w:r>
          <w:rPr>
            <w:color w:val="0000FF"/>
          </w:rPr>
          <w:t>4 статьи 15</w:t>
        </w:r>
      </w:hyperlink>
      <w:r>
        <w:t xml:space="preserve"> Федерального закона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году", осуществляется в 2025 году на расчетные счета</w:t>
      </w:r>
      <w:proofErr w:type="gramEnd"/>
      <w:r>
        <w:t xml:space="preserve">, </w:t>
      </w:r>
      <w:proofErr w:type="gramStart"/>
      <w:r>
        <w:t xml:space="preserve">открытые в кредитных организациях поставщикам товаров, при представлении в территориальный орган Федерального казначейства заказчиками по контрактам (договорам), заключаемым в рамках исполнения государственного (муниципального) контракта, контракта учреждения, соглашения (договора), подтверждающих поставку товаров документов, определенных нормативным правовым </w:t>
      </w:r>
      <w:hyperlink r:id="rId7">
        <w:r>
          <w:rPr>
            <w:color w:val="0000FF"/>
          </w:rPr>
          <w:t>актом</w:t>
        </w:r>
      </w:hyperlink>
      <w:r>
        <w:t xml:space="preserve"> Министерства финансов Российской Федерации в соответствии с </w:t>
      </w:r>
      <w:hyperlink r:id="rId8">
        <w:r>
          <w:rPr>
            <w:color w:val="0000FF"/>
          </w:rPr>
          <w:t>пунктом 4 статьи 242.23</w:t>
        </w:r>
      </w:hyperlink>
      <w:r>
        <w:t xml:space="preserve"> Бюджетного кодекса Российской Федерации (далее - порядок санкционирования).</w:t>
      </w:r>
      <w:proofErr w:type="gramEnd"/>
    </w:p>
    <w:p w:rsidR="00D240B7" w:rsidRDefault="00D240B7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2. </w:t>
      </w:r>
      <w:proofErr w:type="gramStart"/>
      <w:r>
        <w:t xml:space="preserve">Перечисление средств с лицевых счетов участника казначейского сопровождения, открытых в территориальных органах Федерального казначейства заказчикам по контрактам (договорам), заключаемым в рамках исполнения государственных (муниципальных) контрактов, контрактов учреждений, указанных в </w:t>
      </w:r>
      <w:hyperlink r:id="rId9">
        <w:r>
          <w:rPr>
            <w:color w:val="0000FF"/>
          </w:rPr>
          <w:t>частях 3</w:t>
        </w:r>
      </w:hyperlink>
      <w:r>
        <w:t xml:space="preserve"> и </w:t>
      </w:r>
      <w:hyperlink r:id="rId10">
        <w:r>
          <w:rPr>
            <w:color w:val="0000FF"/>
          </w:rPr>
          <w:t>4 статьи 15</w:t>
        </w:r>
      </w:hyperlink>
      <w:r>
        <w:t xml:space="preserve"> Федерального закона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</w:t>
      </w:r>
      <w:proofErr w:type="gramEnd"/>
      <w:r>
        <w:t xml:space="preserve"> </w:t>
      </w:r>
      <w:proofErr w:type="gramStart"/>
      <w:r>
        <w:t>актов Российской Федерации и об установлении особенностей исполнения бюджетов бюджетной системы Российской Федерации в 2025 году", осуществляется в 2025 году на расчетные счета, открытые в кредитных организациях подрядчикам (исполнителям) по таким контрактам (договорам) (далее - подрядчики (исполнители), при представлении заказчиком в территориальный орган Федерального казначейства по месту открытия ему лицевого счета участника казначейского сопровождения документов, подтверждающих выполнение работ, оказание услуг, определенных</w:t>
      </w:r>
      <w:proofErr w:type="gramEnd"/>
      <w:r>
        <w:t xml:space="preserve"> </w:t>
      </w:r>
      <w:proofErr w:type="gramStart"/>
      <w:r>
        <w:t xml:space="preserve">порядком санкционирования, а также сформированного подрядчиком (исполнителем) </w:t>
      </w:r>
      <w:hyperlink w:anchor="P34">
        <w:r>
          <w:rPr>
            <w:color w:val="0000FF"/>
          </w:rPr>
          <w:t>реестра</w:t>
        </w:r>
      </w:hyperlink>
      <w:r>
        <w:t xml:space="preserve"> документов, подтверждающих затраты подрядчика (исполнителя) по контракту (договору), заключенному в рамках исполнения государственного (муниципального) контракта, контракта учреждения, предметом которого являются строительство (реконструкция, в том числе с элементами реставрации, техническое перевооружение), капитальный ремонт объектов капитального </w:t>
      </w:r>
      <w:r>
        <w:lastRenderedPageBreak/>
        <w:t>строительства, произведенные в целях выполнения работ (оказания услуг), по форме согласно приложению, указанные в документах, подтверждающих выполнение работ</w:t>
      </w:r>
      <w:proofErr w:type="gramEnd"/>
      <w:r>
        <w:t>, оказание услуг, определенных порядком санкционирования.</w:t>
      </w:r>
    </w:p>
    <w:p w:rsidR="00D240B7" w:rsidRDefault="00D240B7">
      <w:pPr>
        <w:pStyle w:val="ConsPlusNormal"/>
        <w:spacing w:before="220"/>
        <w:ind w:firstLine="540"/>
        <w:jc w:val="both"/>
      </w:pPr>
      <w:r>
        <w:t>3. Территориальные органы Федерального казначейства при перечислении средств на расчетные счета, открытые в кредитных организациях:</w:t>
      </w:r>
    </w:p>
    <w:p w:rsidR="00D240B7" w:rsidRDefault="00D240B7">
      <w:pPr>
        <w:pStyle w:val="ConsPlusNormal"/>
        <w:spacing w:before="220"/>
        <w:ind w:firstLine="540"/>
        <w:jc w:val="both"/>
      </w:pPr>
      <w:r>
        <w:t xml:space="preserve">а) поставщикам товаров, указанным в </w:t>
      </w:r>
      <w:hyperlink w:anchor="P12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осуществляют проверку документов, подтверждающих поставку товаров, определенных порядком санкционирования;</w:t>
      </w:r>
    </w:p>
    <w:p w:rsidR="00D240B7" w:rsidRDefault="00D240B7">
      <w:pPr>
        <w:pStyle w:val="ConsPlusNormal"/>
        <w:spacing w:before="220"/>
        <w:ind w:firstLine="540"/>
        <w:jc w:val="both"/>
      </w:pPr>
      <w:r>
        <w:t xml:space="preserve">б) подрядчикам (исполнителям), указанным в </w:t>
      </w:r>
      <w:hyperlink w:anchor="P13">
        <w:r>
          <w:rPr>
            <w:color w:val="0000FF"/>
          </w:rPr>
          <w:t>пункте 2</w:t>
        </w:r>
      </w:hyperlink>
      <w:r>
        <w:t xml:space="preserve"> настоящего постановления, осуществляют проверку документов, подтверждающих выполнение работ, оказание услуг, определенных порядком санкционирования, а также наличия </w:t>
      </w:r>
      <w:hyperlink w:anchor="P34">
        <w:r>
          <w:rPr>
            <w:color w:val="0000FF"/>
          </w:rPr>
          <w:t>реестра</w:t>
        </w:r>
      </w:hyperlink>
      <w:r>
        <w:t xml:space="preserve"> документов, предусмотренного приложением к настоящему постановлению.</w:t>
      </w:r>
    </w:p>
    <w:p w:rsidR="00D240B7" w:rsidRDefault="00D240B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Положения настоящего постановления применяются при осуществлении казначейского сопровождения финансовым органом субъекта Российской Федерации (муниципального образования) или Федеральным казначейством при осуществлении им отдельных функций финансового органа субъекта Российской Федерации (муниципального образования) в соответствии со </w:t>
      </w:r>
      <w:hyperlink r:id="rId11">
        <w:r>
          <w:rPr>
            <w:color w:val="0000FF"/>
          </w:rPr>
          <w:t>статьей 220.2</w:t>
        </w:r>
      </w:hyperlink>
      <w:r>
        <w:t xml:space="preserve"> Бюджетного кодекса Российской Федерации средств, определенных в соответствии со </w:t>
      </w:r>
      <w:hyperlink r:id="rId12">
        <w:r>
          <w:rPr>
            <w:color w:val="0000FF"/>
          </w:rPr>
          <w:t>статьей 242.26</w:t>
        </w:r>
      </w:hyperlink>
      <w:r>
        <w:t xml:space="preserve"> Бюджетного кодекса Российской Федерации, в случаях, установленных </w:t>
      </w:r>
      <w:hyperlink r:id="rId13">
        <w:r>
          <w:rPr>
            <w:color w:val="0000FF"/>
          </w:rPr>
          <w:t>частью 6 статьи 15</w:t>
        </w:r>
      </w:hyperlink>
      <w:r>
        <w:t xml:space="preserve"> Федерального закона "О</w:t>
      </w:r>
      <w:proofErr w:type="gramEnd"/>
      <w:r>
        <w:t xml:space="preserve"> </w:t>
      </w:r>
      <w:proofErr w:type="gramStart"/>
      <w:r>
        <w:t>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году".</w:t>
      </w:r>
      <w:proofErr w:type="gramEnd"/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right"/>
      </w:pPr>
      <w:r>
        <w:t>Председатель Правительства</w:t>
      </w:r>
    </w:p>
    <w:p w:rsidR="00D240B7" w:rsidRDefault="00D240B7">
      <w:pPr>
        <w:pStyle w:val="ConsPlusNormal"/>
        <w:jc w:val="right"/>
      </w:pPr>
      <w:r>
        <w:t>Российской Федерации</w:t>
      </w:r>
    </w:p>
    <w:p w:rsidR="00D240B7" w:rsidRDefault="00D240B7">
      <w:pPr>
        <w:pStyle w:val="ConsPlusNormal"/>
        <w:jc w:val="right"/>
      </w:pPr>
      <w:r>
        <w:t>М.МИШУСТИН</w:t>
      </w: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right"/>
        <w:outlineLvl w:val="0"/>
      </w:pPr>
      <w:r>
        <w:t>Приложение</w:t>
      </w:r>
    </w:p>
    <w:p w:rsidR="00D240B7" w:rsidRDefault="00D240B7">
      <w:pPr>
        <w:pStyle w:val="ConsPlusNormal"/>
        <w:jc w:val="right"/>
      </w:pPr>
      <w:r>
        <w:t>к постановлению Правительства</w:t>
      </w:r>
    </w:p>
    <w:p w:rsidR="00D240B7" w:rsidRDefault="00D240B7">
      <w:pPr>
        <w:pStyle w:val="ConsPlusNormal"/>
        <w:jc w:val="right"/>
      </w:pPr>
      <w:r>
        <w:t>Российской Федерации</w:t>
      </w:r>
    </w:p>
    <w:p w:rsidR="00D240B7" w:rsidRDefault="00D240B7">
      <w:pPr>
        <w:pStyle w:val="ConsPlusNormal"/>
        <w:jc w:val="right"/>
      </w:pPr>
      <w:r>
        <w:t>от 11 декабря 2024 г. N 1752</w:t>
      </w: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right"/>
      </w:pPr>
      <w:r>
        <w:t>(форма)</w:t>
      </w:r>
    </w:p>
    <w:p w:rsidR="00D240B7" w:rsidRDefault="00D2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8"/>
      </w:tblGrid>
      <w:tr w:rsidR="00D240B7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bookmarkStart w:id="2" w:name="P34"/>
            <w:bookmarkEnd w:id="2"/>
            <w:r>
              <w:t>РЕЕСТР</w:t>
            </w:r>
          </w:p>
          <w:p w:rsidR="00D240B7" w:rsidRDefault="00D240B7">
            <w:pPr>
              <w:pStyle w:val="ConsPlusNormal"/>
              <w:jc w:val="center"/>
            </w:pPr>
            <w:proofErr w:type="gramStart"/>
            <w:r>
              <w:t>документов, подтверждающих затраты подрядчика (исполнителя) по контракту (договору), заключенному в рамках исполнения государственного (муниципального) контракта, контракта учреждения, предметом которого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произведенные в целях выполнения работ (оказания услуг)</w:t>
            </w:r>
            <w:proofErr w:type="gramEnd"/>
          </w:p>
          <w:p w:rsidR="00D240B7" w:rsidRDefault="00D240B7">
            <w:pPr>
              <w:pStyle w:val="ConsPlusNormal"/>
              <w:jc w:val="center"/>
            </w:pPr>
            <w:r>
              <w:t>N _______________________</w:t>
            </w:r>
          </w:p>
        </w:tc>
      </w:tr>
    </w:tbl>
    <w:p w:rsidR="00D240B7" w:rsidRDefault="00D240B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894"/>
        <w:gridCol w:w="2041"/>
        <w:gridCol w:w="1072"/>
      </w:tblGrid>
      <w:tr w:rsidR="00D240B7">
        <w:tc>
          <w:tcPr>
            <w:tcW w:w="79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B7" w:rsidRDefault="00D240B7">
            <w:pPr>
              <w:pStyle w:val="ConsPlusNormal"/>
              <w:jc w:val="center"/>
            </w:pPr>
            <w:r>
              <w:t>Коды</w:t>
            </w: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0B7" w:rsidRDefault="00D240B7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  <w:r>
              <w:t>Наименование заказчика по контракту (договору)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Аналитический код раздела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  <w:r>
              <w:t>Наименование подрядчика (исполнителя) по контракту (договору)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Наименование кредитной организации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БИК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Номер расчетного счета, открытого в кредитной организации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  <w:r>
              <w:t>Документ, подтверждающий факт выполнения работ, оказания услуг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Номер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0B7" w:rsidRDefault="00D240B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Сумма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</w:tr>
      <w:tr w:rsidR="00D240B7">
        <w:tblPrEx>
          <w:tblBorders>
            <w:insideV w:val="none" w:sz="0" w:space="0" w:color="auto"/>
          </w:tblBorders>
        </w:tblPrEx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  <w:r>
              <w:t>Единица измерения: рублей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0B7" w:rsidRDefault="00D240B7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383</w:t>
              </w:r>
            </w:hyperlink>
          </w:p>
        </w:tc>
      </w:tr>
    </w:tbl>
    <w:p w:rsidR="00D240B7" w:rsidRDefault="00D240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38"/>
        <w:gridCol w:w="1411"/>
        <w:gridCol w:w="1411"/>
        <w:gridCol w:w="1247"/>
      </w:tblGrid>
      <w:tr w:rsidR="00D240B7">
        <w:tc>
          <w:tcPr>
            <w:tcW w:w="710" w:type="dxa"/>
            <w:vMerge w:val="restart"/>
          </w:tcPr>
          <w:p w:rsidR="00D240B7" w:rsidRDefault="00D240B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07" w:type="dxa"/>
            <w:gridSpan w:val="4"/>
          </w:tcPr>
          <w:p w:rsidR="00D240B7" w:rsidRDefault="00D240B7">
            <w:pPr>
              <w:pStyle w:val="ConsPlusNormal"/>
              <w:jc w:val="center"/>
            </w:pPr>
            <w:r>
              <w:t xml:space="preserve">Документ, подтверждающий затраты, произведенные подрядчиком (исполнителем) в целях выполнения работ, оказания услуг </w:t>
            </w:r>
            <w:hyperlink w:anchor="P128">
              <w:r>
                <w:rPr>
                  <w:color w:val="0000FF"/>
                </w:rPr>
                <w:t>&lt;*&gt;</w:t>
              </w:r>
            </w:hyperlink>
          </w:p>
        </w:tc>
      </w:tr>
      <w:tr w:rsidR="00D240B7">
        <w:tc>
          <w:tcPr>
            <w:tcW w:w="710" w:type="dxa"/>
            <w:vMerge/>
          </w:tcPr>
          <w:p w:rsidR="00D240B7" w:rsidRDefault="00D240B7">
            <w:pPr>
              <w:pStyle w:val="ConsPlusNormal"/>
            </w:pPr>
          </w:p>
        </w:tc>
        <w:tc>
          <w:tcPr>
            <w:tcW w:w="4238" w:type="dxa"/>
          </w:tcPr>
          <w:p w:rsidR="00D240B7" w:rsidRDefault="00D240B7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411" w:type="dxa"/>
          </w:tcPr>
          <w:p w:rsidR="00D240B7" w:rsidRDefault="00D240B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1" w:type="dxa"/>
          </w:tcPr>
          <w:p w:rsidR="00D240B7" w:rsidRDefault="00D240B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</w:tcPr>
          <w:p w:rsidR="00D240B7" w:rsidRDefault="00D240B7">
            <w:pPr>
              <w:pStyle w:val="ConsPlusNormal"/>
              <w:jc w:val="center"/>
            </w:pPr>
            <w:r>
              <w:t>сумма</w:t>
            </w:r>
          </w:p>
        </w:tc>
      </w:tr>
      <w:tr w:rsidR="00D240B7">
        <w:tc>
          <w:tcPr>
            <w:tcW w:w="710" w:type="dxa"/>
          </w:tcPr>
          <w:p w:rsidR="00D240B7" w:rsidRDefault="00D240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8" w:type="dxa"/>
          </w:tcPr>
          <w:p w:rsidR="00D240B7" w:rsidRDefault="00D240B7">
            <w:pPr>
              <w:pStyle w:val="ConsPlusNormal"/>
              <w:jc w:val="center"/>
            </w:pPr>
            <w:bookmarkStart w:id="3" w:name="P90"/>
            <w:bookmarkEnd w:id="3"/>
            <w:r>
              <w:t>2</w:t>
            </w:r>
          </w:p>
        </w:tc>
        <w:tc>
          <w:tcPr>
            <w:tcW w:w="1411" w:type="dxa"/>
          </w:tcPr>
          <w:p w:rsidR="00D240B7" w:rsidRDefault="00D240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D240B7" w:rsidRDefault="00D240B7">
            <w:pPr>
              <w:pStyle w:val="ConsPlusNormal"/>
              <w:jc w:val="center"/>
            </w:pPr>
            <w:bookmarkStart w:id="4" w:name="P92"/>
            <w:bookmarkEnd w:id="4"/>
            <w:r>
              <w:t>4</w:t>
            </w:r>
          </w:p>
        </w:tc>
        <w:tc>
          <w:tcPr>
            <w:tcW w:w="1247" w:type="dxa"/>
          </w:tcPr>
          <w:p w:rsidR="00D240B7" w:rsidRDefault="00D240B7">
            <w:pPr>
              <w:pStyle w:val="ConsPlusNormal"/>
              <w:jc w:val="center"/>
            </w:pPr>
            <w:bookmarkStart w:id="5" w:name="P93"/>
            <w:bookmarkEnd w:id="5"/>
            <w:r>
              <w:t>5</w:t>
            </w:r>
          </w:p>
        </w:tc>
      </w:tr>
      <w:tr w:rsidR="00D240B7">
        <w:tc>
          <w:tcPr>
            <w:tcW w:w="710" w:type="dxa"/>
          </w:tcPr>
          <w:p w:rsidR="00D240B7" w:rsidRDefault="00D240B7">
            <w:pPr>
              <w:pStyle w:val="ConsPlusNormal"/>
            </w:pPr>
          </w:p>
        </w:tc>
        <w:tc>
          <w:tcPr>
            <w:tcW w:w="4238" w:type="dxa"/>
          </w:tcPr>
          <w:p w:rsidR="00D240B7" w:rsidRDefault="00D240B7">
            <w:pPr>
              <w:pStyle w:val="ConsPlusNormal"/>
            </w:pPr>
          </w:p>
        </w:tc>
        <w:tc>
          <w:tcPr>
            <w:tcW w:w="1411" w:type="dxa"/>
          </w:tcPr>
          <w:p w:rsidR="00D240B7" w:rsidRDefault="00D240B7">
            <w:pPr>
              <w:pStyle w:val="ConsPlusNormal"/>
            </w:pPr>
          </w:p>
        </w:tc>
        <w:tc>
          <w:tcPr>
            <w:tcW w:w="1411" w:type="dxa"/>
          </w:tcPr>
          <w:p w:rsidR="00D240B7" w:rsidRDefault="00D240B7">
            <w:pPr>
              <w:pStyle w:val="ConsPlusNormal"/>
            </w:pPr>
          </w:p>
        </w:tc>
        <w:tc>
          <w:tcPr>
            <w:tcW w:w="1247" w:type="dxa"/>
          </w:tcPr>
          <w:p w:rsidR="00D240B7" w:rsidRDefault="00D240B7">
            <w:pPr>
              <w:pStyle w:val="ConsPlusNormal"/>
            </w:pPr>
          </w:p>
        </w:tc>
      </w:tr>
    </w:tbl>
    <w:p w:rsidR="00D240B7" w:rsidRDefault="00D24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587"/>
        <w:gridCol w:w="340"/>
        <w:gridCol w:w="1684"/>
        <w:gridCol w:w="340"/>
        <w:gridCol w:w="1984"/>
      </w:tblGrid>
      <w:tr w:rsidR="00D240B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  <w:r>
              <w:t>Руководитель подрядчика (исполнителя) по контракту (договору)</w:t>
            </w:r>
          </w:p>
          <w:p w:rsidR="00D240B7" w:rsidRDefault="00D240B7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B7" w:rsidRDefault="00D240B7">
            <w:pPr>
              <w:pStyle w:val="ConsPlusNormal"/>
            </w:pPr>
          </w:p>
        </w:tc>
      </w:tr>
      <w:tr w:rsidR="00D240B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240B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B7" w:rsidRDefault="00D240B7">
            <w:pPr>
              <w:pStyle w:val="ConsPlusNormal"/>
            </w:pPr>
            <w:r>
              <w:t>Руководитель заказчика по контракту (договору)</w:t>
            </w:r>
          </w:p>
          <w:p w:rsidR="00D240B7" w:rsidRDefault="00D240B7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0B7" w:rsidRDefault="00D240B7">
            <w:pPr>
              <w:pStyle w:val="ConsPlusNormal"/>
            </w:pPr>
          </w:p>
        </w:tc>
      </w:tr>
      <w:tr w:rsidR="00D240B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0B7" w:rsidRDefault="00D240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ind w:firstLine="540"/>
        <w:jc w:val="both"/>
      </w:pPr>
      <w:r>
        <w:t>--------------------------------</w:t>
      </w:r>
    </w:p>
    <w:p w:rsidR="00D240B7" w:rsidRDefault="00D240B7">
      <w:pPr>
        <w:pStyle w:val="ConsPlusNormal"/>
        <w:spacing w:before="220"/>
        <w:ind w:firstLine="540"/>
        <w:jc w:val="both"/>
      </w:pPr>
      <w:bookmarkStart w:id="6" w:name="P128"/>
      <w:bookmarkEnd w:id="6"/>
      <w:r>
        <w:t>&lt;*&gt; В случае если подрядчик (исполнитель):</w:t>
      </w:r>
    </w:p>
    <w:p w:rsidR="00D240B7" w:rsidRDefault="00D240B7">
      <w:pPr>
        <w:pStyle w:val="ConsPlusNormal"/>
        <w:spacing w:before="220"/>
        <w:ind w:firstLine="540"/>
        <w:jc w:val="both"/>
      </w:pPr>
      <w:proofErr w:type="gramStart"/>
      <w:r>
        <w:t xml:space="preserve">не 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в </w:t>
      </w:r>
      <w:hyperlink w:anchor="P90">
        <w:r>
          <w:rPr>
            <w:color w:val="0000FF"/>
          </w:rPr>
          <w:t>графах 2</w:t>
        </w:r>
      </w:hyperlink>
      <w:r>
        <w:t xml:space="preserve">, </w:t>
      </w:r>
      <w:hyperlink w:anchor="P92">
        <w:r>
          <w:rPr>
            <w:color w:val="0000FF"/>
          </w:rPr>
          <w:t>4</w:t>
        </w:r>
      </w:hyperlink>
      <w:r>
        <w:t xml:space="preserve"> и </w:t>
      </w:r>
      <w:hyperlink w:anchor="P93">
        <w:r>
          <w:rPr>
            <w:color w:val="0000FF"/>
          </w:rPr>
          <w:t>5</w:t>
        </w:r>
      </w:hyperlink>
      <w:r>
        <w:t xml:space="preserve"> соответственно указываются данные из расчета суммы накладных расходов по государственному (муниципальному) контракту, договору (соглашению), контракту (договору), предусмотренного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</w:t>
      </w:r>
      <w:proofErr w:type="gramEnd"/>
      <w:r>
        <w:t xml:space="preserve"> </w:t>
      </w:r>
      <w:proofErr w:type="gramStart"/>
      <w:r>
        <w:t xml:space="preserve">каждому государственному (муниципальному) контракту, договору (соглашению), контракту (договору), утвержденным Министерством финансов Российской Федерации в соответствии с </w:t>
      </w:r>
      <w:hyperlink r:id="rId15">
        <w:r>
          <w:rPr>
            <w:color w:val="0000FF"/>
          </w:rPr>
          <w:t>подпунктом "д" пункта 10</w:t>
        </w:r>
      </w:hyperlink>
      <w:r>
        <w:t xml:space="preserve"> Правил казначейского сопровождения, осуществляемого Федеральным казначейством, утвержденных постановлением Правительства Российской Федерации от 24 ноября 2021 г. N 2024 "О правилах казначейского сопровождения", в части отражения наименования формы, даты ее формирования и суммы (без представления подрядчиком (исполнителем) в территориальный орган Федерального</w:t>
      </w:r>
      <w:proofErr w:type="gramEnd"/>
      <w:r>
        <w:t xml:space="preserve"> казначейства указанного расчета накладных расходов);</w:t>
      </w:r>
    </w:p>
    <w:p w:rsidR="00D240B7" w:rsidRDefault="00D240B7">
      <w:pPr>
        <w:pStyle w:val="ConsPlusNormal"/>
        <w:spacing w:before="220"/>
        <w:ind w:firstLine="540"/>
        <w:jc w:val="both"/>
      </w:pPr>
      <w:proofErr w:type="gramStart"/>
      <w:r>
        <w:t xml:space="preserve">привлекает для выполнения работ, оказания услуг иных юридических лиц, индивидуальных предпринимателей, физических лиц - производителей товаров, работ, услуг, указываются реквизиты документов, подтверждающих возникновение денежных обязательств подрядчика (исполнителя), установленных порядком санкционирования операций со средствами участников казначейского сопровождения, утвержденным Министерством финансов Российской Федерации в соответствии с </w:t>
      </w:r>
      <w:hyperlink r:id="rId16">
        <w:r>
          <w:rPr>
            <w:color w:val="0000FF"/>
          </w:rPr>
          <w:t>пунктом 4 статьи 242.23</w:t>
        </w:r>
      </w:hyperlink>
      <w:r>
        <w:t xml:space="preserve"> Бюджетного кодекса Российской Федерации.</w:t>
      </w:r>
      <w:proofErr w:type="gramEnd"/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jc w:val="both"/>
      </w:pPr>
    </w:p>
    <w:p w:rsidR="00D240B7" w:rsidRDefault="00D240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C08" w:rsidRDefault="00792C08"/>
    <w:sectPr w:rsidR="00792C08" w:rsidSect="0000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40B7"/>
    <w:rsid w:val="00792C08"/>
    <w:rsid w:val="008110A3"/>
    <w:rsid w:val="00D2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0B7"/>
    <w:pPr>
      <w:widowControl w:val="0"/>
      <w:autoSpaceDE w:val="0"/>
      <w:autoSpaceDN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0B7"/>
    <w:pPr>
      <w:widowControl w:val="0"/>
      <w:autoSpaceDE w:val="0"/>
      <w:autoSpaceDN w:val="0"/>
      <w:spacing w:after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0B7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90&amp;dst=6760" TargetMode="External"/><Relationship Id="rId13" Type="http://schemas.openxmlformats.org/officeDocument/2006/relationships/hyperlink" Target="https://login.consultant.ru/link/?req=doc&amp;base=RZB&amp;n=494464&amp;dst=1001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7849&amp;dst=100011" TargetMode="External"/><Relationship Id="rId12" Type="http://schemas.openxmlformats.org/officeDocument/2006/relationships/hyperlink" Target="https://login.consultant.ru/link/?req=doc&amp;base=RZB&amp;n=466790&amp;dst=67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6790&amp;dst=67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464&amp;dst=100118" TargetMode="External"/><Relationship Id="rId11" Type="http://schemas.openxmlformats.org/officeDocument/2006/relationships/hyperlink" Target="https://login.consultant.ru/link/?req=doc&amp;base=RZB&amp;n=466790&amp;dst=6027" TargetMode="External"/><Relationship Id="rId5" Type="http://schemas.openxmlformats.org/officeDocument/2006/relationships/hyperlink" Target="https://login.consultant.ru/link/?req=doc&amp;base=RZB&amp;n=494464&amp;dst=100116" TargetMode="External"/><Relationship Id="rId15" Type="http://schemas.openxmlformats.org/officeDocument/2006/relationships/hyperlink" Target="https://login.consultant.ru/link/?req=doc&amp;base=RZB&amp;n=493157&amp;dst=100036" TargetMode="External"/><Relationship Id="rId10" Type="http://schemas.openxmlformats.org/officeDocument/2006/relationships/hyperlink" Target="https://login.consultant.ru/link/?req=doc&amp;base=RZB&amp;n=494464&amp;dst=1001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94464&amp;dst=100117" TargetMode="External"/><Relationship Id="rId14" Type="http://schemas.openxmlformats.org/officeDocument/2006/relationships/hyperlink" Target="https://login.consultant.ru/link/?req=doc&amp;base=RZB&amp;n=490975&amp;dst=10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2025-01-09T12:13:00Z</dcterms:created>
  <dcterms:modified xsi:type="dcterms:W3CDTF">2025-01-09T12:14:00Z</dcterms:modified>
</cp:coreProperties>
</file>